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63722F"/>
    <w:p w14:paraId="1A092EA1">
      <w:pPr>
        <w:bidi w:val="0"/>
        <w:jc w:val="center"/>
        <w:rPr>
          <w:rFonts w:hint="eastAsia" w:ascii="微软雅黑" w:hAnsi="微软雅黑" w:eastAsia="微软雅黑" w:cs="微软雅黑"/>
          <w:b/>
          <w:bCs/>
          <w:color w:val="0070C0"/>
          <w:sz w:val="32"/>
          <w:szCs w:val="32"/>
          <w:lang w:val="en-US" w:eastAsia="zh-CN"/>
        </w:rPr>
      </w:pPr>
    </w:p>
    <w:p w14:paraId="1F97059C">
      <w:pPr>
        <w:bidi w:val="0"/>
        <w:jc w:val="center"/>
        <w:rPr>
          <w:rFonts w:hint="eastAsia" w:ascii="阿里巴巴普惠体 R" w:hAnsi="阿里巴巴普惠体 R" w:eastAsia="阿里巴巴普惠体 R" w:cs="阿里巴巴普惠体 R"/>
          <w:b/>
          <w:bCs/>
          <w:color w:val="C81D31" w:themeColor="accent6" w:themeShade="BF"/>
          <w:sz w:val="21"/>
          <w:szCs w:val="21"/>
          <w:lang w:val="en-US" w:eastAsia="zh-CN"/>
        </w:rPr>
      </w:pPr>
      <w:bookmarkStart w:id="0" w:name="_GoBack"/>
      <w:r>
        <w:rPr>
          <w:rFonts w:hint="eastAsia" w:ascii="微软雅黑" w:hAnsi="微软雅黑" w:eastAsia="微软雅黑" w:cs="微软雅黑"/>
          <w:b/>
          <w:bCs/>
          <w:color w:val="0070C0"/>
          <w:sz w:val="36"/>
          <w:szCs w:val="36"/>
          <w:lang w:val="en-US" w:eastAsia="zh-CN"/>
        </w:rPr>
        <w:t>小鼠降钙素基因相关肽 (CGRP)</w:t>
      </w:r>
      <w:bookmarkEnd w:id="0"/>
      <w:r>
        <w:rPr>
          <w:rFonts w:hint="eastAsia" w:ascii="微软雅黑" w:hAnsi="微软雅黑" w:eastAsia="微软雅黑" w:cs="微软雅黑"/>
          <w:b/>
          <w:bCs/>
          <w:color w:val="0070C0"/>
          <w:sz w:val="36"/>
          <w:szCs w:val="36"/>
          <w:lang w:val="en-US" w:eastAsia="zh-CN"/>
        </w:rPr>
        <w:t xml:space="preserve"> 试剂盒</w:t>
      </w:r>
      <w:r>
        <w:rPr>
          <w:rFonts w:hint="eastAsia" w:ascii="微软雅黑" w:hAnsi="微软雅黑" w:eastAsia="微软雅黑" w:cs="微软雅黑"/>
          <w:b/>
          <w:bCs/>
          <w:color w:val="auto"/>
          <w:sz w:val="44"/>
          <w:szCs w:val="44"/>
          <w:lang w:val="en-US" w:eastAsia="zh-CN"/>
        </w:rPr>
        <w:br w:type="textWrapping"/>
      </w:r>
      <w:r>
        <w:rPr>
          <w:rFonts w:hint="eastAsia" w:ascii="阿里巴巴普惠体 R" w:hAnsi="阿里巴巴普惠体 R" w:eastAsia="阿里巴巴普惠体 R" w:cs="阿里巴巴普惠体 R"/>
          <w:b/>
          <w:bCs/>
          <w:color w:val="FF0000"/>
          <w:sz w:val="21"/>
          <w:szCs w:val="21"/>
          <w:lang w:val="en-US" w:eastAsia="zh-CN"/>
        </w:rPr>
        <w:t>本试剂盒仅供体外研究使用，不用于临床诊断</w:t>
      </w:r>
    </w:p>
    <w:p w14:paraId="3111AF31">
      <w:pPr>
        <w:jc w:val="both"/>
        <w:rPr>
          <w:rFonts w:hint="eastAsia" w:ascii="微软雅黑" w:hAnsi="微软雅黑" w:eastAsia="微软雅黑" w:cs="微软雅黑"/>
          <w:b/>
          <w:bCs/>
          <w:color w:val="auto"/>
          <w:sz w:val="24"/>
          <w:szCs w:val="24"/>
        </w:rPr>
      </w:pPr>
    </w:p>
    <w:p w14:paraId="4FDFF961">
      <w:pPr>
        <w:jc w:val="both"/>
        <w:rPr>
          <w:rFonts w:hint="eastAsia" w:ascii="微软雅黑" w:hAnsi="微软雅黑" w:eastAsia="微软雅黑" w:cs="微软雅黑"/>
          <w:b w:val="0"/>
          <w:bCs w:val="0"/>
          <w:color w:val="auto"/>
          <w:sz w:val="24"/>
          <w:szCs w:val="24"/>
        </w:rPr>
      </w:pPr>
      <w:r>
        <w:rPr>
          <w:rFonts w:hint="eastAsia" w:ascii="微软雅黑" w:hAnsi="微软雅黑" w:eastAsia="微软雅黑" w:cs="微软雅黑"/>
          <w:b/>
          <w:bCs/>
          <w:color w:val="auto"/>
          <w:sz w:val="24"/>
          <w:szCs w:val="24"/>
        </w:rPr>
        <w:t>有</w:t>
      </w:r>
      <w:r>
        <w:rPr>
          <w:rFonts w:hint="eastAsia" w:ascii="微软雅黑" w:hAnsi="微软雅黑" w:eastAsia="微软雅黑" w:cs="微软雅黑"/>
          <w:b/>
          <w:bCs/>
          <w:color w:val="auto"/>
          <w:sz w:val="24"/>
          <w:szCs w:val="24"/>
          <w:lang w:val="en-US" w:eastAsia="zh-CN"/>
        </w:rPr>
        <w:t xml:space="preserve"> </w:t>
      </w:r>
      <w:r>
        <w:rPr>
          <w:rFonts w:hint="eastAsia" w:ascii="微软雅黑" w:hAnsi="微软雅黑" w:eastAsia="微软雅黑" w:cs="微软雅黑"/>
          <w:b/>
          <w:bCs/>
          <w:color w:val="auto"/>
          <w:sz w:val="24"/>
          <w:szCs w:val="24"/>
        </w:rPr>
        <w:t>效</w:t>
      </w:r>
      <w:r>
        <w:rPr>
          <w:rFonts w:hint="eastAsia" w:ascii="微软雅黑" w:hAnsi="微软雅黑" w:eastAsia="微软雅黑" w:cs="微软雅黑"/>
          <w:b/>
          <w:bCs/>
          <w:color w:val="auto"/>
          <w:sz w:val="24"/>
          <w:szCs w:val="24"/>
          <w:lang w:val="en-US" w:eastAsia="zh-CN"/>
        </w:rPr>
        <w:t xml:space="preserve"> </w:t>
      </w:r>
      <w:r>
        <w:rPr>
          <w:rFonts w:hint="eastAsia" w:ascii="微软雅黑" w:hAnsi="微软雅黑" w:eastAsia="微软雅黑" w:cs="微软雅黑"/>
          <w:b/>
          <w:bCs/>
          <w:color w:val="auto"/>
          <w:sz w:val="24"/>
          <w:szCs w:val="24"/>
        </w:rPr>
        <w:t>期</w:t>
      </w:r>
      <w:r>
        <w:rPr>
          <w:rFonts w:hint="eastAsia" w:ascii="微软雅黑" w:hAnsi="微软雅黑" w:eastAsia="微软雅黑" w:cs="微软雅黑"/>
          <w:b w:val="0"/>
          <w:bCs w:val="0"/>
          <w:color w:val="auto"/>
          <w:sz w:val="24"/>
          <w:szCs w:val="24"/>
        </w:rPr>
        <w:t>：6个月</w:t>
      </w:r>
    </w:p>
    <w:p w14:paraId="5D4CE39A">
      <w:pPr>
        <w:jc w:val="both"/>
        <w:rPr>
          <w:rFonts w:hint="eastAsia" w:ascii="微软雅黑" w:hAnsi="微软雅黑" w:eastAsia="微软雅黑" w:cs="微软雅黑"/>
          <w:b w:val="0"/>
          <w:bCs w:val="0"/>
          <w:color w:val="auto"/>
          <w:sz w:val="24"/>
          <w:szCs w:val="24"/>
        </w:rPr>
      </w:pPr>
      <w:r>
        <w:rPr>
          <w:rFonts w:hint="eastAsia" w:ascii="微软雅黑" w:hAnsi="微软雅黑" w:eastAsia="微软雅黑" w:cs="微软雅黑"/>
          <w:b/>
          <w:bCs/>
          <w:color w:val="auto"/>
          <w:sz w:val="24"/>
          <w:szCs w:val="24"/>
        </w:rPr>
        <w:t>保存条件</w:t>
      </w:r>
      <w:r>
        <w:rPr>
          <w:rFonts w:hint="eastAsia" w:ascii="微软雅黑" w:hAnsi="微软雅黑" w:eastAsia="微软雅黑" w:cs="微软雅黑"/>
          <w:b w:val="0"/>
          <w:bCs w:val="0"/>
          <w:color w:val="auto"/>
          <w:sz w:val="24"/>
          <w:szCs w:val="24"/>
        </w:rPr>
        <w:t>：2-8℃</w:t>
      </w:r>
    </w:p>
    <w:p w14:paraId="79C0489C">
      <w:pPr>
        <w:bidi w:val="0"/>
        <w:jc w:val="both"/>
        <w:rPr>
          <w:rFonts w:hint="eastAsia" w:ascii="微软雅黑" w:hAnsi="微软雅黑" w:eastAsia="微软雅黑" w:cs="微软雅黑"/>
          <w:b w:val="0"/>
          <w:bCs w:val="0"/>
          <w:color w:val="auto"/>
          <w:sz w:val="24"/>
          <w:szCs w:val="24"/>
        </w:rPr>
      </w:pPr>
      <w:r>
        <w:rPr>
          <w:rFonts w:hint="eastAsia" w:ascii="微软雅黑" w:hAnsi="微软雅黑" w:eastAsia="微软雅黑" w:cs="微软雅黑"/>
          <w:b w:val="0"/>
          <w:bCs w:val="0"/>
          <w:color w:val="auto"/>
          <w:sz w:val="24"/>
          <w:szCs w:val="24"/>
        </w:rPr>
        <w:t>本试剂盒用于体外定量检测血清、血浆、组织匀浆及相关液体样本中小鼠CGRP的含量。</w:t>
      </w:r>
    </w:p>
    <w:p w14:paraId="54A1F434">
      <w:pP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[实验原理]</w:t>
      </w:r>
    </w:p>
    <w:p w14:paraId="5BBE7748">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采用双抗体一步夹心法酶联免疫吸附试验（ELISA）。往预先包被</w:t>
      </w:r>
      <w:r>
        <w:rPr>
          <w:rFonts w:hint="eastAsia" w:ascii="微软雅黑" w:hAnsi="微软雅黑" w:eastAsia="微软雅黑" w:cs="微软雅黑"/>
          <w:b w:val="0"/>
          <w:bCs w:val="0"/>
          <w:sz w:val="24"/>
          <w:szCs w:val="24"/>
          <w:lang w:val="en-US" w:eastAsia="zh-CN"/>
        </w:rPr>
        <w:t>小鼠降钙素基因相关肽(CGRP)</w:t>
      </w:r>
      <w:r>
        <w:rPr>
          <w:rFonts w:hint="eastAsia" w:ascii="微软雅黑" w:hAnsi="微软雅黑" w:eastAsia="微软雅黑" w:cs="微软雅黑"/>
          <w:sz w:val="24"/>
          <w:szCs w:val="24"/>
        </w:rPr>
        <w:t>捕获抗体的包被微孔中，依次加入标本、标准品、HRP标记的检测抗体，经过温育并彻底洗涤。用底物TMB显色，TMB在过氧化物酶的催化下转化成蓝色，并在酸的作用下转化成最终的黄色。颜色的深浅和样品中的</w:t>
      </w:r>
      <w:r>
        <w:rPr>
          <w:rFonts w:hint="eastAsia" w:ascii="微软雅黑" w:hAnsi="微软雅黑" w:eastAsia="微软雅黑" w:cs="微软雅黑"/>
          <w:b w:val="0"/>
          <w:bCs w:val="0"/>
          <w:sz w:val="24"/>
          <w:szCs w:val="24"/>
          <w:lang w:val="en-US" w:eastAsia="zh-CN"/>
        </w:rPr>
        <w:t>小鼠降钙素基因相关肽(CGRP)</w:t>
      </w:r>
      <w:r>
        <w:rPr>
          <w:rFonts w:hint="eastAsia" w:ascii="微软雅黑" w:hAnsi="微软雅黑" w:eastAsia="微软雅黑" w:cs="微软雅黑"/>
          <w:sz w:val="24"/>
          <w:szCs w:val="24"/>
        </w:rPr>
        <w:t>呈正相关。用酶标仪在450nm 波长下测定吸光度（OD 值），计算样品浓度。</w:t>
      </w:r>
    </w:p>
    <w:p w14:paraId="1EC4DBB8">
      <w:pP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[样本处理及要求]</w:t>
      </w:r>
    </w:p>
    <w:p w14:paraId="7C2629D7">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 xml:space="preserve">1. </w:t>
      </w:r>
      <w:r>
        <w:rPr>
          <w:rFonts w:hint="eastAsia" w:ascii="微软雅黑" w:hAnsi="微软雅黑" w:eastAsia="微软雅黑" w:cs="微软雅黑"/>
          <w:sz w:val="24"/>
          <w:szCs w:val="24"/>
        </w:rPr>
        <w:t>血清：将收集于血清分离管的全血标本在室温放置2小时或4℃过夜，然后1000×g离心20 分钟，取上清即可，或将上清置于-20℃或-80℃保存，但应避免反复冻融。</w:t>
      </w:r>
    </w:p>
    <w:p w14:paraId="2E405096">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 xml:space="preserve">2. </w:t>
      </w:r>
      <w:r>
        <w:rPr>
          <w:rFonts w:hint="eastAsia" w:ascii="微软雅黑" w:hAnsi="微软雅黑" w:eastAsia="微软雅黑" w:cs="微软雅黑"/>
          <w:sz w:val="24"/>
          <w:szCs w:val="24"/>
        </w:rPr>
        <w:t>血浆：用EDTA或肝素作为抗凝剂采集标本，并将标本在采集后的30分钟内于2-8℃ 1000×g离心15分钟，取上清即可检测，或将上清置于-20℃或-80℃保存，但应避免反复冻融。</w:t>
      </w:r>
    </w:p>
    <w:p w14:paraId="7484EE08">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 xml:space="preserve">3. </w:t>
      </w:r>
      <w:r>
        <w:rPr>
          <w:rFonts w:hint="eastAsia" w:ascii="微软雅黑" w:hAnsi="微软雅黑" w:eastAsia="微软雅黑" w:cs="微软雅黑"/>
          <w:sz w:val="24"/>
          <w:szCs w:val="24"/>
        </w:rPr>
        <w:t>组织匀浆：用预冷的PBS (0.01M, pH=7.4)冲洗组织，去除残留血液（匀浆中裂解的红细胞会影响测量结果），称重后将组织剪碎。将剪碎的组织与对应体积的PBS（一般按1:9的重量体积比，比如1g的组织样品对应9mL的PBS，具体体积可根据实验需要适当调整，并做好记录。推荐在PBS中加入蛋白酶抑制剂）加入玻璃匀浆器中，于冰上充分研磨。为了进一步裂解组织细胞，可以对匀浆液进行超声破碎，或反复冻融。最后将匀浆液于5000×g离心5~10分钟，取上清检测。</w:t>
      </w:r>
    </w:p>
    <w:p w14:paraId="73D3F548">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 xml:space="preserve">4. </w:t>
      </w:r>
      <w:r>
        <w:rPr>
          <w:rFonts w:hint="eastAsia" w:ascii="微软雅黑" w:hAnsi="微软雅黑" w:eastAsia="微软雅黑" w:cs="微软雅黑"/>
          <w:sz w:val="24"/>
          <w:szCs w:val="24"/>
        </w:rPr>
        <w:t>细胞培养物上清或其它生物标本：请1000×g离心20分钟，取上清即可检测，或将上清置于-20℃或-80℃保存，但应避免反复冻融。</w:t>
      </w:r>
    </w:p>
    <w:p w14:paraId="2772368C">
      <w:pPr>
        <w:rPr>
          <w:rFonts w:hint="eastAsia" w:ascii="微软雅黑" w:hAnsi="微软雅黑" w:eastAsia="微软雅黑" w:cs="微软雅黑"/>
          <w:b/>
          <w:bCs/>
          <w:color w:val="FF0000"/>
          <w:sz w:val="24"/>
          <w:szCs w:val="24"/>
        </w:rPr>
      </w:pPr>
      <w:r>
        <w:rPr>
          <w:rFonts w:hint="eastAsia" w:ascii="微软雅黑" w:hAnsi="微软雅黑" w:eastAsia="微软雅黑" w:cs="微软雅黑"/>
          <w:b/>
          <w:bCs/>
          <w:color w:val="FF0000"/>
          <w:sz w:val="24"/>
          <w:szCs w:val="24"/>
        </w:rPr>
        <w:t>注：标本溶血会影响最后检测结果，因此溶血标本不宜进行此项检测。</w:t>
      </w:r>
    </w:p>
    <w:p w14:paraId="449BAC47">
      <w:pP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[试剂盒组成]</w:t>
      </w:r>
    </w:p>
    <w:p w14:paraId="716B2B6B">
      <w:pP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drawing>
          <wp:inline distT="0" distB="0" distL="114300" distR="114300">
            <wp:extent cx="4234180" cy="3197860"/>
            <wp:effectExtent l="0" t="0" r="13970" b="2540"/>
            <wp:docPr id="1" name="图片 1" descr="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9"/>
                    <pic:cNvPicPr>
                      <a:picLocks noChangeAspect="1"/>
                    </pic:cNvPicPr>
                  </pic:nvPicPr>
                  <pic:blipFill>
                    <a:blip r:embed="rId6"/>
                    <a:stretch>
                      <a:fillRect/>
                    </a:stretch>
                  </pic:blipFill>
                  <pic:spPr>
                    <a:xfrm>
                      <a:off x="0" y="0"/>
                      <a:ext cx="4234180" cy="3197860"/>
                    </a:xfrm>
                    <a:prstGeom prst="rect">
                      <a:avLst/>
                    </a:prstGeom>
                  </pic:spPr>
                </pic:pic>
              </a:graphicData>
            </a:graphic>
          </wp:inline>
        </w:drawing>
      </w:r>
      <w:r>
        <w:rPr>
          <w:rFonts w:hint="eastAsia" w:ascii="微软雅黑" w:hAnsi="微软雅黑" w:eastAsia="微软雅黑" w:cs="微软雅黑"/>
          <w:b/>
          <w:bCs/>
          <w:sz w:val="24"/>
          <w:szCs w:val="24"/>
        </w:rPr>
        <w:br w:type="textWrapping"/>
      </w:r>
      <w:r>
        <w:rPr>
          <w:rFonts w:hint="eastAsia" w:ascii="微软雅黑" w:hAnsi="微软雅黑" w:eastAsia="微软雅黑" w:cs="微软雅黑"/>
          <w:b/>
          <w:bCs/>
          <w:sz w:val="24"/>
          <w:szCs w:val="24"/>
        </w:rPr>
        <w:t>[需要而未提供的试剂和器材]</w:t>
      </w:r>
    </w:p>
    <w:p w14:paraId="61B433CA">
      <w:pPr>
        <w:numPr>
          <w:ilvl w:val="0"/>
          <w:numId w:val="1"/>
        </w:numPr>
        <w:rPr>
          <w:rFonts w:hint="eastAsia" w:ascii="微软雅黑" w:hAnsi="微软雅黑" w:eastAsia="微软雅黑" w:cs="微软雅黑"/>
          <w:sz w:val="24"/>
          <w:szCs w:val="24"/>
        </w:rPr>
      </w:pPr>
      <w:r>
        <w:rPr>
          <w:rFonts w:hint="eastAsia" w:ascii="微软雅黑" w:hAnsi="微软雅黑" w:eastAsia="微软雅黑" w:cs="微软雅黑"/>
          <w:sz w:val="24"/>
          <w:szCs w:val="24"/>
        </w:rPr>
        <w:t>酶标仪（450nm）</w:t>
      </w:r>
    </w:p>
    <w:p w14:paraId="528CE2C6">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2.</w:t>
      </w:r>
      <w:r>
        <w:rPr>
          <w:rFonts w:hint="eastAsia" w:ascii="微软雅黑" w:hAnsi="微软雅黑" w:eastAsia="微软雅黑" w:cs="微软雅黑"/>
          <w:b/>
          <w:bCs/>
          <w:sz w:val="24"/>
          <w:szCs w:val="24"/>
          <w:lang w:val="en-US" w:eastAsia="zh-CN"/>
        </w:rPr>
        <w:t xml:space="preserve"> </w:t>
      </w:r>
      <w:r>
        <w:rPr>
          <w:rFonts w:hint="eastAsia" w:ascii="微软雅黑" w:hAnsi="微软雅黑" w:eastAsia="微软雅黑" w:cs="微软雅黑"/>
          <w:sz w:val="24"/>
          <w:szCs w:val="24"/>
        </w:rPr>
        <w:t>高精度加样器及枪头：0.5-10uL、2-20uL、20-200uL、200-1000uL</w:t>
      </w:r>
    </w:p>
    <w:p w14:paraId="41640272">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3.</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37℃恒温箱</w:t>
      </w:r>
    </w:p>
    <w:p w14:paraId="4E101680">
      <w:pPr>
        <w:numPr>
          <w:ilvl w:val="0"/>
          <w:numId w:val="2"/>
        </w:numPr>
        <w:rPr>
          <w:rFonts w:hint="eastAsia" w:ascii="微软雅黑" w:hAnsi="微软雅黑" w:eastAsia="微软雅黑" w:cs="微软雅黑"/>
          <w:sz w:val="24"/>
          <w:szCs w:val="24"/>
        </w:rPr>
      </w:pPr>
      <w:r>
        <w:rPr>
          <w:rFonts w:hint="eastAsia" w:ascii="微软雅黑" w:hAnsi="微软雅黑" w:eastAsia="微软雅黑" w:cs="微软雅黑"/>
          <w:sz w:val="24"/>
          <w:szCs w:val="24"/>
        </w:rPr>
        <w:t>蒸馏水或去离子水</w:t>
      </w:r>
    </w:p>
    <w:p w14:paraId="3788EA63">
      <w:pP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备注：</w:t>
      </w:r>
    </w:p>
    <w:p w14:paraId="11C76A2F">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1.</w:t>
      </w:r>
      <w:r>
        <w:rPr>
          <w:rFonts w:hint="eastAsia" w:ascii="微软雅黑" w:hAnsi="微软雅黑" w:eastAsia="微软雅黑" w:cs="微软雅黑"/>
          <w:sz w:val="24"/>
          <w:szCs w:val="24"/>
        </w:rPr>
        <w:t xml:space="preserve"> 标准品浓度依次为：32、16、8、4、2、1 nmol/L</w:t>
      </w:r>
    </w:p>
    <w:p w14:paraId="63B94EC7">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 xml:space="preserve">2. </w:t>
      </w:r>
      <w:r>
        <w:rPr>
          <w:rFonts w:hint="eastAsia" w:ascii="微软雅黑" w:hAnsi="微软雅黑" w:eastAsia="微软雅黑" w:cs="微软雅黑"/>
          <w:sz w:val="24"/>
          <w:szCs w:val="24"/>
        </w:rPr>
        <w:t>经过大量正常标本检验，标本的正常浓度值均在试剂盒提供的检测范围内，实验过程中直接取50μL样本上样即可。当有部分样本值超过最大标准品浓度时，可用样本稀释液将标本进行适当稀释后再进行实验。</w:t>
      </w:r>
    </w:p>
    <w:p w14:paraId="4669D089">
      <w:pP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[注意事项]</w:t>
      </w:r>
    </w:p>
    <w:p w14:paraId="7D9D7A10">
      <w:pPr>
        <w:numPr>
          <w:ilvl w:val="0"/>
          <w:numId w:val="3"/>
        </w:numPr>
        <w:rPr>
          <w:rFonts w:hint="eastAsia" w:ascii="微软雅黑" w:hAnsi="微软雅黑" w:eastAsia="微软雅黑" w:cs="微软雅黑"/>
          <w:sz w:val="24"/>
          <w:szCs w:val="24"/>
        </w:rPr>
      </w:pPr>
      <w:r>
        <w:rPr>
          <w:rFonts w:hint="eastAsia" w:ascii="微软雅黑" w:hAnsi="微软雅黑" w:eastAsia="微软雅黑" w:cs="微软雅黑"/>
          <w:sz w:val="24"/>
          <w:szCs w:val="24"/>
        </w:rPr>
        <w:t>严格按照规定的时间和温度进行温育以保证准确结果。所有试剂都必须在使用前达到室温20-25℃。使用后立即冷藏保存试剂。</w:t>
      </w:r>
    </w:p>
    <w:p w14:paraId="4974BC40">
      <w:pPr>
        <w:numPr>
          <w:ilvl w:val="0"/>
          <w:numId w:val="3"/>
        </w:numPr>
        <w:ind w:left="0" w:leftChars="0" w:firstLine="0"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洗板不正确可以导致不准确的结果。在加入底物前确保尽量吸干孔内液体。温育过程中不要让微孔干燥掉。</w:t>
      </w:r>
    </w:p>
    <w:p w14:paraId="2B736FEE">
      <w:pPr>
        <w:numPr>
          <w:ilvl w:val="0"/>
          <w:numId w:val="3"/>
        </w:numPr>
        <w:ind w:left="0" w:leftChars="0" w:firstLine="0"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消除板底残留的液体和手指印，否则影响OD值。</w:t>
      </w:r>
    </w:p>
    <w:p w14:paraId="2BDE349F">
      <w:pPr>
        <w:numPr>
          <w:ilvl w:val="0"/>
          <w:numId w:val="3"/>
        </w:numPr>
        <w:ind w:left="0" w:leftChars="0" w:firstLine="0"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底物显色液应呈无色或很浅的颜色，已经变蓝的底物液不能使用。</w:t>
      </w:r>
    </w:p>
    <w:p w14:paraId="70DAE91C">
      <w:pPr>
        <w:numPr>
          <w:ilvl w:val="0"/>
          <w:numId w:val="3"/>
        </w:numPr>
        <w:ind w:left="0" w:leftChars="0" w:firstLine="0"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避免试剂和标本的交叉污染以免造成错误结果。</w:t>
      </w:r>
    </w:p>
    <w:p w14:paraId="3ABA1293">
      <w:pPr>
        <w:numPr>
          <w:ilvl w:val="0"/>
          <w:numId w:val="3"/>
        </w:numPr>
        <w:ind w:left="0" w:leftChars="0" w:firstLine="0"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在储存和温育时避免强光直接照射。</w:t>
      </w:r>
    </w:p>
    <w:p w14:paraId="4978213B">
      <w:pPr>
        <w:numPr>
          <w:ilvl w:val="0"/>
          <w:numId w:val="3"/>
        </w:numPr>
        <w:ind w:left="0" w:leftChars="0" w:firstLine="0"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平衡至室温后再打开密封袋以防水滴凝聚在冷板条上。</w:t>
      </w:r>
    </w:p>
    <w:p w14:paraId="31FADD97">
      <w:pPr>
        <w:numPr>
          <w:ilvl w:val="0"/>
          <w:numId w:val="3"/>
        </w:numPr>
        <w:ind w:left="0" w:leftChars="0" w:firstLine="0"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任何反应试剂不能接触漂白溶剂或漂白溶剂所散发的强烈气体。任何漂白成分都会破坏试剂盒中反应试剂的生物活性。</w:t>
      </w:r>
    </w:p>
    <w:p w14:paraId="055B1A15">
      <w:pPr>
        <w:numPr>
          <w:ilvl w:val="0"/>
          <w:numId w:val="3"/>
        </w:numPr>
        <w:ind w:left="0" w:leftChars="0" w:firstLine="0"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不能使用过期产品。</w:t>
      </w:r>
    </w:p>
    <w:p w14:paraId="3D00103D">
      <w:pPr>
        <w:numPr>
          <w:ilvl w:val="0"/>
          <w:numId w:val="3"/>
        </w:numPr>
        <w:ind w:left="0" w:leftChars="0" w:firstLine="0"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如果可能传播疾病，所有的样品都应管理好，按照规定的程序处理样品和检测装置。</w:t>
      </w:r>
    </w:p>
    <w:p w14:paraId="51BA983C">
      <w:pP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[试剂准备]</w:t>
      </w:r>
    </w:p>
    <w:p w14:paraId="12B173B1">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从冷藏环境中取出应在室温平衡后方可使用。</w:t>
      </w:r>
    </w:p>
    <w:p w14:paraId="5FA883B0">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20×洗涤缓冲液的稀释：蒸馏水按1：20稀释，即1份20×洗涤缓冲液加19份蒸馏水。</w:t>
      </w:r>
    </w:p>
    <w:p w14:paraId="220E9880">
      <w:pP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[操作步骤]</w:t>
      </w:r>
    </w:p>
    <w:p w14:paraId="64191781">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1.</w:t>
      </w:r>
      <w:r>
        <w:rPr>
          <w:rFonts w:hint="eastAsia" w:ascii="微软雅黑" w:hAnsi="微软雅黑" w:eastAsia="微软雅黑" w:cs="微软雅黑"/>
          <w:sz w:val="24"/>
          <w:szCs w:val="24"/>
        </w:rPr>
        <w:t xml:space="preserve"> 从室温平衡20min后的铝箔袋中取出所需板条，剩余板条用自封袋密封放回4℃。</w:t>
      </w:r>
    </w:p>
    <w:p w14:paraId="273509EC">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2.</w:t>
      </w:r>
      <w:r>
        <w:rPr>
          <w:rFonts w:hint="eastAsia" w:ascii="微软雅黑" w:hAnsi="微软雅黑" w:eastAsia="微软雅黑" w:cs="微软雅黑"/>
          <w:sz w:val="24"/>
          <w:szCs w:val="24"/>
        </w:rPr>
        <w:t xml:space="preserve"> 设置标准品孔和样本孔，标准品孔各加不同浓度的标准品50μL；</w:t>
      </w:r>
    </w:p>
    <w:p w14:paraId="349A5FDA">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 xml:space="preserve">3. </w:t>
      </w:r>
      <w:r>
        <w:rPr>
          <w:rFonts w:hint="eastAsia" w:ascii="微软雅黑" w:hAnsi="微软雅黑" w:eastAsia="微软雅黑" w:cs="微软雅黑"/>
          <w:sz w:val="24"/>
          <w:szCs w:val="24"/>
        </w:rPr>
        <w:t>样本孔中加入待测样本50μL；空白孔不加。</w:t>
      </w:r>
    </w:p>
    <w:p w14:paraId="4A8722A4">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 xml:space="preserve">4. </w:t>
      </w:r>
      <w:r>
        <w:rPr>
          <w:rFonts w:hint="eastAsia" w:ascii="微软雅黑" w:hAnsi="微软雅黑" w:eastAsia="微软雅黑" w:cs="微软雅黑"/>
          <w:sz w:val="24"/>
          <w:szCs w:val="24"/>
        </w:rPr>
        <w:t>除空白孔外，标准品孔和样本孔中每孔加入辣根过氧化物酶（HRP）标记的检测抗体100μL，用封板膜封住反应孔，37℃水浴锅或恒温箱温育60min。</w:t>
      </w:r>
    </w:p>
    <w:p w14:paraId="75BF7D50">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 xml:space="preserve">5. </w:t>
      </w:r>
      <w:r>
        <w:rPr>
          <w:rFonts w:hint="eastAsia" w:ascii="微软雅黑" w:hAnsi="微软雅黑" w:eastAsia="微软雅黑" w:cs="微软雅黑"/>
          <w:sz w:val="24"/>
          <w:szCs w:val="24"/>
        </w:rPr>
        <w:t>弃去液体，吸水纸上拍干，每孔加满洗涤液（350μL），静置1min，甩去洗涤液，吸水纸上拍干，如此重复洗板5次（也可用洗板机洗板）。</w:t>
      </w:r>
    </w:p>
    <w:p w14:paraId="25AB41EB">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 xml:space="preserve">6. </w:t>
      </w:r>
      <w:r>
        <w:rPr>
          <w:rFonts w:hint="eastAsia" w:ascii="微软雅黑" w:hAnsi="微软雅黑" w:eastAsia="微软雅黑" w:cs="微软雅黑"/>
          <w:sz w:val="24"/>
          <w:szCs w:val="24"/>
        </w:rPr>
        <w:t>每孔加入底物A、B各50μL，37℃避光孵育15min。</w:t>
      </w:r>
    </w:p>
    <w:p w14:paraId="59709441">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 xml:space="preserve">7. </w:t>
      </w:r>
      <w:r>
        <w:rPr>
          <w:rFonts w:hint="eastAsia" w:ascii="微软雅黑" w:hAnsi="微软雅黑" w:eastAsia="微软雅黑" w:cs="微软雅黑"/>
          <w:sz w:val="24"/>
          <w:szCs w:val="24"/>
        </w:rPr>
        <w:t>每孔加入终止液50μL，15min内，在450nm波长处测定各孔的OD值。</w:t>
      </w:r>
    </w:p>
    <w:p w14:paraId="0181352C">
      <w:pPr>
        <w:rPr>
          <w:rFonts w:hint="eastAsia" w:ascii="微软雅黑" w:hAnsi="微软雅黑" w:eastAsia="微软雅黑" w:cs="微软雅黑"/>
          <w:b w:val="0"/>
          <w:bCs w:val="0"/>
          <w:sz w:val="24"/>
          <w:szCs w:val="24"/>
        </w:rPr>
      </w:pPr>
      <w:r>
        <w:rPr>
          <w:rFonts w:hint="eastAsia" w:ascii="微软雅黑" w:hAnsi="微软雅黑" w:eastAsia="微软雅黑" w:cs="微软雅黑"/>
          <w:b/>
          <w:bCs/>
          <w:sz w:val="24"/>
          <w:szCs w:val="24"/>
        </w:rPr>
        <w:t>[实验结果计算]</w:t>
      </w:r>
    </w:p>
    <w:p w14:paraId="4A7F640C">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以所测标准品的OD值为横坐标，标准品的浓度值为纵坐标，在坐标纸上或用相关软件绘制标准曲线，并得到直线回归方程，将样品的OD值代入方程，计算出样品的浓度。</w:t>
      </w:r>
    </w:p>
    <w:p w14:paraId="23749673">
      <w:pPr>
        <w:rPr>
          <w:rFonts w:hint="eastAsia" w:ascii="微软雅黑" w:hAnsi="微软雅黑" w:eastAsia="微软雅黑" w:cs="微软雅黑"/>
          <w:sz w:val="24"/>
          <w:szCs w:val="24"/>
        </w:rPr>
      </w:pPr>
    </w:p>
    <w:p w14:paraId="77936189">
      <w:pP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[试剂盒性能]</w:t>
      </w:r>
    </w:p>
    <w:p w14:paraId="3A7301EF">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 xml:space="preserve">1. </w:t>
      </w:r>
      <w:r>
        <w:rPr>
          <w:rFonts w:hint="eastAsia" w:ascii="微软雅黑" w:hAnsi="微软雅黑" w:eastAsia="微软雅黑" w:cs="微软雅黑"/>
          <w:sz w:val="24"/>
          <w:szCs w:val="24"/>
        </w:rPr>
        <w:t>检测范围：1 nmol/L – 32 nmol/L。</w:t>
      </w:r>
    </w:p>
    <w:p w14:paraId="3F264556">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2.</w:t>
      </w:r>
      <w:r>
        <w:rPr>
          <w:rFonts w:hint="eastAsia" w:ascii="微软雅黑" w:hAnsi="微软雅黑" w:eastAsia="微软雅黑" w:cs="微软雅黑"/>
          <w:sz w:val="24"/>
          <w:szCs w:val="24"/>
        </w:rPr>
        <w:t xml:space="preserve"> 灵敏度：最低检测浓度小于0.1 nmol/L。</w:t>
      </w:r>
    </w:p>
    <w:p w14:paraId="2E8DC706">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 xml:space="preserve">3. </w:t>
      </w:r>
      <w:r>
        <w:rPr>
          <w:rFonts w:hint="eastAsia" w:ascii="微软雅黑" w:hAnsi="微软雅黑" w:eastAsia="微软雅黑" w:cs="微软雅黑"/>
          <w:sz w:val="24"/>
          <w:szCs w:val="24"/>
        </w:rPr>
        <w:t>特异性：不与其它可溶性结构类似物交叉反应。</w:t>
      </w:r>
    </w:p>
    <w:p w14:paraId="750D312F">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 xml:space="preserve">4. </w:t>
      </w:r>
      <w:r>
        <w:rPr>
          <w:rFonts w:hint="eastAsia" w:ascii="微软雅黑" w:hAnsi="微软雅黑" w:eastAsia="微软雅黑" w:cs="微软雅黑"/>
          <w:sz w:val="24"/>
          <w:szCs w:val="24"/>
        </w:rPr>
        <w:t>重复性：板内变异系数小于10% ，板间变异系数小于15% 。</w:t>
      </w:r>
    </w:p>
    <w:p w14:paraId="633FA564">
      <w:pPr>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[说明]</w:t>
      </w:r>
    </w:p>
    <w:p w14:paraId="2D55FB7C">
      <w:pPr>
        <w:numPr>
          <w:ilvl w:val="0"/>
          <w:numId w:val="4"/>
        </w:numPr>
        <w:rPr>
          <w:rFonts w:hint="eastAsia" w:ascii="微软雅黑" w:hAnsi="微软雅黑" w:eastAsia="微软雅黑" w:cs="微软雅黑"/>
          <w:sz w:val="24"/>
          <w:szCs w:val="24"/>
        </w:rPr>
      </w:pPr>
      <w:r>
        <w:rPr>
          <w:rFonts w:hint="eastAsia" w:ascii="微软雅黑" w:hAnsi="微软雅黑" w:eastAsia="微软雅黑" w:cs="微软雅黑"/>
          <w:sz w:val="24"/>
          <w:szCs w:val="24"/>
        </w:rPr>
        <w:t>由于现有条件及科学技术水平尚不能对所有供货商提供的所有原料进行全面的鉴定与分析，本产品可能存在一定的质量技术风险。</w:t>
      </w:r>
    </w:p>
    <w:p w14:paraId="48DCF24B">
      <w:pPr>
        <w:numPr>
          <w:ilvl w:val="0"/>
          <w:numId w:val="4"/>
        </w:numPr>
        <w:ind w:left="0" w:leftChars="0" w:firstLine="0"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最终的实验结果与试剂的有效性、实验者的相关操作以及当时的实验环境密切相关，请务必准备充足的标本备份。</w:t>
      </w:r>
    </w:p>
    <w:p w14:paraId="7379FA74">
      <w:pPr>
        <w:numPr>
          <w:ilvl w:val="0"/>
          <w:numId w:val="4"/>
        </w:numPr>
        <w:ind w:left="0" w:leftChars="0" w:firstLine="0"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不同批次的同一产品可能会有少许差别，如：检测限、灵敏度以及显色时间等，请依据试剂盒内说明书进行实验操作，网站电子版说明书仅作参考。</w:t>
      </w:r>
    </w:p>
    <w:p w14:paraId="357E0503">
      <w:pPr>
        <w:numPr>
          <w:ilvl w:val="0"/>
          <w:numId w:val="4"/>
        </w:numPr>
        <w:ind w:left="0" w:leftChars="0" w:firstLine="0"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只有全部使用本试剂盒配套试剂才能保证检测效果，不能混用其他制造商的产品。只有严格遵守本试剂盒的实验说明才会得到最佳的检测结果。</w:t>
      </w:r>
    </w:p>
    <w:p w14:paraId="2430237D">
      <w:pPr>
        <w:numPr>
          <w:ilvl w:val="0"/>
          <w:numId w:val="4"/>
        </w:numPr>
        <w:ind w:left="0" w:leftChars="0" w:firstLine="0"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本公司只对试剂盒本身负责，不对因使用该试剂盒所造成的样本消耗负责，请使用者使用前充分考虑到样本的可能使用量，预留充足的样本。</w:t>
      </w:r>
    </w:p>
    <w:p w14:paraId="47FC8FF7">
      <w:pPr>
        <w:numPr>
          <w:ilvl w:val="0"/>
          <w:numId w:val="4"/>
        </w:numPr>
        <w:ind w:left="0" w:leftChars="0" w:firstLine="0"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使用化学裂解液制备的组织匀浆或细胞提取液可能会由于某些化学物质的引入导致ELISA实验结果偏差。</w:t>
      </w:r>
    </w:p>
    <w:p w14:paraId="248AC749">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若样本为细胞培养上清，因该类样本干扰因素较多，如：细胞状态、细胞数量、采样时间等，所以可能存在检测不出的情况。</w:t>
      </w:r>
    </w:p>
    <w:p w14:paraId="76818962">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某些天然蛋白或重组蛋白，包括原核及真核重组蛋白，可能因为与本产品所使用的检测抗体及捕获抗体不匹配，而不被检测出。</w:t>
      </w:r>
    </w:p>
    <w:p w14:paraId="2E965005"/>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阿里巴巴普惠体 R">
    <w:panose1 w:val="00020600040101010101"/>
    <w:charset w:val="86"/>
    <w:family w:val="auto"/>
    <w:pitch w:val="default"/>
    <w:sig w:usb0="A00002FF" w:usb1="7ACF7CFB" w:usb2="0000001E" w:usb3="00000000" w:csb0="0004009F" w:csb1="00000000"/>
  </w:font>
  <w:font w:name="微软雅黑">
    <w:panose1 w:val="020B0503020204020204"/>
    <w:charset w:val="86"/>
    <w:family w:val="auto"/>
    <w:pitch w:val="default"/>
    <w:sig w:usb0="80000287" w:usb1="2ACF3C50" w:usb2="00000016" w:usb3="00000000" w:csb0="0004001F" w:csb1="00000000"/>
  </w:font>
  <w:font w:name="阿里巴巴普惠体 B">
    <w:panose1 w:val="00020600040101010101"/>
    <w:charset w:val="86"/>
    <w:family w:val="auto"/>
    <w:pitch w:val="default"/>
    <w:sig w:usb0="A00002FF" w:usb1="7ACF7CFB" w:usb2="0000001E"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3ACF70">
    <w:pPr>
      <w:pStyle w:val="2"/>
    </w:pPr>
    <w:r>
      <w:rPr>
        <w:sz w:val="18"/>
      </w:rPr>
      <mc:AlternateContent>
        <mc:Choice Requires="wps">
          <w:drawing>
            <wp:anchor distT="0" distB="0" distL="114300" distR="114300" simplePos="0" relativeHeight="251661312" behindDoc="0" locked="0" layoutInCell="1" allowOverlap="1">
              <wp:simplePos x="0" y="0"/>
              <wp:positionH relativeFrom="column">
                <wp:posOffset>-1174115</wp:posOffset>
              </wp:positionH>
              <wp:positionV relativeFrom="paragraph">
                <wp:posOffset>542925</wp:posOffset>
              </wp:positionV>
              <wp:extent cx="7689215" cy="228600"/>
              <wp:effectExtent l="0" t="0" r="6985" b="0"/>
              <wp:wrapNone/>
              <wp:docPr id="16" name="矩形 3"/>
              <wp:cNvGraphicFramePr/>
              <a:graphic xmlns:a="http://schemas.openxmlformats.org/drawingml/2006/main">
                <a:graphicData uri="http://schemas.microsoft.com/office/word/2010/wordprocessingShape">
                  <wps:wsp>
                    <wps:cNvSpPr/>
                    <wps:spPr>
                      <a:xfrm>
                        <a:off x="683260" y="10234930"/>
                        <a:ext cx="7689215" cy="228600"/>
                      </a:xfrm>
                      <a:prstGeom prst="rect">
                        <a:avLst/>
                      </a:prstGeom>
                      <a:gradFill>
                        <a:gsLst>
                          <a:gs pos="0">
                            <a:srgbClr val="012D86"/>
                          </a:gs>
                          <a:gs pos="100000">
                            <a:srgbClr val="0E2557"/>
                          </a:gs>
                        </a:gsLst>
                        <a:lin scaled="0"/>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EF3F643">
                          <w:pPr>
                            <w:jc w:val="center"/>
                            <w:rPr>
                              <w:rFonts w:hint="default" w:eastAsiaTheme="minorEastAsia"/>
                              <w:b/>
                              <w:bCs/>
                              <w:color w:val="FFFF00"/>
                              <w:sz w:val="18"/>
                              <w:szCs w:val="18"/>
                              <w:lang w:val="en-US" w:eastAsia="zh-CN"/>
                            </w:rPr>
                          </w:pPr>
                          <w:r>
                            <w:rPr>
                              <w:rFonts w:hint="eastAsia"/>
                              <w:b/>
                              <w:bCs/>
                              <w:kern w:val="0"/>
                              <w:sz w:val="18"/>
                              <w:szCs w:val="18"/>
                              <w:lang w:val="en-US" w:eastAsia="zh-CN"/>
                            </w:rPr>
                            <w:t xml:space="preserve">                                                                            </w:t>
                          </w:r>
                          <w:r>
                            <w:rPr>
                              <w:rFonts w:hint="eastAsia"/>
                              <w:b/>
                              <w:bCs/>
                              <w:kern w:val="0"/>
                              <w:sz w:val="18"/>
                              <w:szCs w:val="18"/>
                              <w:u w:val="none"/>
                              <w:lang w:val="en-US" w:eastAsia="zh-CN"/>
                            </w:rPr>
                            <w:fldChar w:fldCharType="begin"/>
                          </w:r>
                          <w:r>
                            <w:rPr>
                              <w:rFonts w:hint="eastAsia"/>
                              <w:b/>
                              <w:bCs/>
                              <w:kern w:val="0"/>
                              <w:sz w:val="18"/>
                              <w:szCs w:val="18"/>
                              <w:u w:val="none"/>
                              <w:lang w:val="en-US" w:eastAsia="zh-CN"/>
                            </w:rPr>
                            <w:instrText xml:space="preserve"> HYPERLINK "https://www.tw-reagent.com/" </w:instrText>
                          </w:r>
                          <w:r>
                            <w:rPr>
                              <w:rFonts w:hint="eastAsia"/>
                              <w:b/>
                              <w:bCs/>
                              <w:kern w:val="0"/>
                              <w:sz w:val="18"/>
                              <w:szCs w:val="18"/>
                              <w:u w:val="none"/>
                              <w:lang w:val="en-US" w:eastAsia="zh-CN"/>
                            </w:rPr>
                            <w:fldChar w:fldCharType="separate"/>
                          </w:r>
                          <w:r>
                            <w:rPr>
                              <w:rStyle w:val="7"/>
                              <w:rFonts w:hint="eastAsia"/>
                              <w:b/>
                              <w:bCs/>
                              <w:kern w:val="0"/>
                              <w:sz w:val="18"/>
                              <w:szCs w:val="18"/>
                              <w:u w:val="none"/>
                              <w:lang w:val="en-US" w:eastAsia="zh-CN"/>
                            </w:rPr>
                            <w:t xml:space="preserve"> </w:t>
                          </w:r>
                          <w:r>
                            <w:rPr>
                              <w:rStyle w:val="7"/>
                              <w:rFonts w:hint="eastAsia"/>
                              <w:b/>
                              <w:bCs/>
                              <w:color w:val="CCE8CF" w:themeColor="background1"/>
                              <w:spacing w:val="61"/>
                              <w:kern w:val="0"/>
                              <w:sz w:val="18"/>
                              <w:szCs w:val="18"/>
                              <w:u w:val="none"/>
                              <w:fitText w:val="2700" w:id="2000827068"/>
                              <w14:textFill>
                                <w14:solidFill>
                                  <w14:schemeClr w14:val="bg1"/>
                                </w14:solidFill>
                              </w14:textFill>
                            </w:rPr>
                            <w:t>www.tw-reagent.co</w:t>
                          </w:r>
                          <w:r>
                            <w:rPr>
                              <w:rStyle w:val="7"/>
                              <w:rFonts w:hint="eastAsia"/>
                              <w:b/>
                              <w:bCs/>
                              <w:color w:val="CCE8CF" w:themeColor="background1"/>
                              <w:spacing w:val="16"/>
                              <w:kern w:val="0"/>
                              <w:sz w:val="18"/>
                              <w:szCs w:val="18"/>
                              <w:u w:val="none"/>
                              <w:fitText w:val="2700" w:id="2000827068"/>
                              <w14:textFill>
                                <w14:solidFill>
                                  <w14:schemeClr w14:val="bg1"/>
                                </w14:solidFill>
                              </w14:textFill>
                            </w:rPr>
                            <w:t>m</w:t>
                          </w:r>
                          <w:r>
                            <w:rPr>
                              <w:rFonts w:hint="eastAsia"/>
                              <w:b/>
                              <w:bCs/>
                              <w:kern w:val="0"/>
                              <w:sz w:val="18"/>
                              <w:szCs w:val="18"/>
                              <w:u w:val="none"/>
                              <w:lang w:val="en-US" w:eastAsia="zh-CN"/>
                            </w:rPr>
                            <w:fldChar w:fldCharType="end"/>
                          </w:r>
                          <w:r>
                            <w:rPr>
                              <w:rFonts w:hint="eastAsia"/>
                              <w:b/>
                              <w:bCs/>
                              <w:spacing w:val="248"/>
                              <w:kern w:val="0"/>
                              <w:sz w:val="18"/>
                              <w:szCs w:val="18"/>
                              <w:fitText w:val="2160" w:id="1084829920"/>
                              <w:lang w:val="en-US" w:eastAsia="zh-CN"/>
                            </w:rPr>
                            <w:t xml:space="preserve"> </w:t>
                          </w:r>
                          <w:r>
                            <w:rPr>
                              <w:rFonts w:hint="eastAsia"/>
                              <w:b/>
                              <w:bCs/>
                              <w:color w:val="FFFF00"/>
                              <w:spacing w:val="248"/>
                              <w:kern w:val="0"/>
                              <w:sz w:val="18"/>
                              <w:szCs w:val="18"/>
                              <w:fitText w:val="2160" w:id="1084829920"/>
                              <w:lang w:val="en-US" w:eastAsia="zh-CN"/>
                            </w:rPr>
                            <w:t>-----</w:t>
                          </w:r>
                          <w:r>
                            <w:rPr>
                              <w:rFonts w:hint="eastAsia"/>
                              <w:b/>
                              <w:bCs/>
                              <w:color w:val="FFFF00"/>
                              <w:spacing w:val="3"/>
                              <w:kern w:val="0"/>
                              <w:sz w:val="18"/>
                              <w:szCs w:val="18"/>
                              <w:fitText w:val="2160" w:id="1084829920"/>
                              <w:lang w:val="en-US" w:eastAsia="zh-CN"/>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 o:spid="_x0000_s1026" o:spt="1" style="position:absolute;left:0pt;margin-left:-92.45pt;margin-top:42.75pt;height:18pt;width:605.45pt;z-index:251661312;v-text-anchor:middle;mso-width-relative:page;mso-height-relative:page;" fillcolor="#012D86" filled="t" stroked="f" coordsize="21600,21600" o:gfxdata="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h31xhdoAAAAMAQAADwAAAAAAAAABACAAAAAiAAAAZHJzL2Rv&#10;d25yZXYueG1sUEsBAhQAFAAAAAgAh07iQHabvZ6qAgAATwUAAA4AAAAAAAAAAQAgAAAAKQEAAGRy&#10;cy9lMm9Eb2MueG1sUEsFBgAAAAAGAAYAWQEAAEUGAAAAAA==&#10;">
              <v:fill type="gradient" on="t" color2="#0E2557" angle="90" focus="100%" focussize="0,0" rotate="t">
                <o:fill type="gradientUnscaled" v:ext="backwardCompatible"/>
              </v:fill>
              <v:stroke on="f" weight="1pt" miterlimit="8" joinstyle="miter"/>
              <v:imagedata o:title=""/>
              <o:lock v:ext="edit" aspectratio="f"/>
              <v:textbox>
                <w:txbxContent>
                  <w:p w14:paraId="5EF3F643">
                    <w:pPr>
                      <w:jc w:val="center"/>
                      <w:rPr>
                        <w:rFonts w:hint="default" w:eastAsiaTheme="minorEastAsia"/>
                        <w:b/>
                        <w:bCs/>
                        <w:color w:val="FFFF00"/>
                        <w:sz w:val="18"/>
                        <w:szCs w:val="18"/>
                        <w:lang w:val="en-US" w:eastAsia="zh-CN"/>
                      </w:rPr>
                    </w:pPr>
                    <w:r>
                      <w:rPr>
                        <w:rFonts w:hint="eastAsia"/>
                        <w:b/>
                        <w:bCs/>
                        <w:kern w:val="0"/>
                        <w:sz w:val="18"/>
                        <w:szCs w:val="18"/>
                        <w:lang w:val="en-US" w:eastAsia="zh-CN"/>
                      </w:rPr>
                      <w:t xml:space="preserve">                                                                            </w:t>
                    </w:r>
                    <w:r>
                      <w:rPr>
                        <w:rFonts w:hint="eastAsia"/>
                        <w:b/>
                        <w:bCs/>
                        <w:kern w:val="0"/>
                        <w:sz w:val="18"/>
                        <w:szCs w:val="18"/>
                        <w:u w:val="none"/>
                        <w:lang w:val="en-US" w:eastAsia="zh-CN"/>
                      </w:rPr>
                      <w:fldChar w:fldCharType="begin"/>
                    </w:r>
                    <w:r>
                      <w:rPr>
                        <w:rFonts w:hint="eastAsia"/>
                        <w:b/>
                        <w:bCs/>
                        <w:kern w:val="0"/>
                        <w:sz w:val="18"/>
                        <w:szCs w:val="18"/>
                        <w:u w:val="none"/>
                        <w:lang w:val="en-US" w:eastAsia="zh-CN"/>
                      </w:rPr>
                      <w:instrText xml:space="preserve"> HYPERLINK "https://www.tw-reagent.com/" </w:instrText>
                    </w:r>
                    <w:r>
                      <w:rPr>
                        <w:rFonts w:hint="eastAsia"/>
                        <w:b/>
                        <w:bCs/>
                        <w:kern w:val="0"/>
                        <w:sz w:val="18"/>
                        <w:szCs w:val="18"/>
                        <w:u w:val="none"/>
                        <w:lang w:val="en-US" w:eastAsia="zh-CN"/>
                      </w:rPr>
                      <w:fldChar w:fldCharType="separate"/>
                    </w:r>
                    <w:r>
                      <w:rPr>
                        <w:rStyle w:val="7"/>
                        <w:rFonts w:hint="eastAsia"/>
                        <w:b/>
                        <w:bCs/>
                        <w:kern w:val="0"/>
                        <w:sz w:val="18"/>
                        <w:szCs w:val="18"/>
                        <w:u w:val="none"/>
                        <w:lang w:val="en-US" w:eastAsia="zh-CN"/>
                      </w:rPr>
                      <w:t xml:space="preserve"> </w:t>
                    </w:r>
                    <w:r>
                      <w:rPr>
                        <w:rStyle w:val="7"/>
                        <w:rFonts w:hint="eastAsia"/>
                        <w:b/>
                        <w:bCs/>
                        <w:color w:val="CCE8CF" w:themeColor="background1"/>
                        <w:spacing w:val="61"/>
                        <w:kern w:val="0"/>
                        <w:sz w:val="18"/>
                        <w:szCs w:val="18"/>
                        <w:u w:val="none"/>
                        <w:fitText w:val="2700" w:id="2000827068"/>
                        <w14:textFill>
                          <w14:solidFill>
                            <w14:schemeClr w14:val="bg1"/>
                          </w14:solidFill>
                        </w14:textFill>
                      </w:rPr>
                      <w:t>www.tw-reagent.co</w:t>
                    </w:r>
                    <w:r>
                      <w:rPr>
                        <w:rStyle w:val="7"/>
                        <w:rFonts w:hint="eastAsia"/>
                        <w:b/>
                        <w:bCs/>
                        <w:color w:val="CCE8CF" w:themeColor="background1"/>
                        <w:spacing w:val="16"/>
                        <w:kern w:val="0"/>
                        <w:sz w:val="18"/>
                        <w:szCs w:val="18"/>
                        <w:u w:val="none"/>
                        <w:fitText w:val="2700" w:id="2000827068"/>
                        <w14:textFill>
                          <w14:solidFill>
                            <w14:schemeClr w14:val="bg1"/>
                          </w14:solidFill>
                        </w14:textFill>
                      </w:rPr>
                      <w:t>m</w:t>
                    </w:r>
                    <w:r>
                      <w:rPr>
                        <w:rFonts w:hint="eastAsia"/>
                        <w:b/>
                        <w:bCs/>
                        <w:kern w:val="0"/>
                        <w:sz w:val="18"/>
                        <w:szCs w:val="18"/>
                        <w:u w:val="none"/>
                        <w:lang w:val="en-US" w:eastAsia="zh-CN"/>
                      </w:rPr>
                      <w:fldChar w:fldCharType="end"/>
                    </w:r>
                    <w:r>
                      <w:rPr>
                        <w:rFonts w:hint="eastAsia"/>
                        <w:b/>
                        <w:bCs/>
                        <w:spacing w:val="248"/>
                        <w:kern w:val="0"/>
                        <w:sz w:val="18"/>
                        <w:szCs w:val="18"/>
                        <w:fitText w:val="2160" w:id="1084829920"/>
                        <w:lang w:val="en-US" w:eastAsia="zh-CN"/>
                      </w:rPr>
                      <w:t xml:space="preserve"> </w:t>
                    </w:r>
                    <w:r>
                      <w:rPr>
                        <w:rFonts w:hint="eastAsia"/>
                        <w:b/>
                        <w:bCs/>
                        <w:color w:val="FFFF00"/>
                        <w:spacing w:val="248"/>
                        <w:kern w:val="0"/>
                        <w:sz w:val="18"/>
                        <w:szCs w:val="18"/>
                        <w:fitText w:val="2160" w:id="1084829920"/>
                        <w:lang w:val="en-US" w:eastAsia="zh-CN"/>
                      </w:rPr>
                      <w:t>-----</w:t>
                    </w:r>
                    <w:r>
                      <w:rPr>
                        <w:rFonts w:hint="eastAsia"/>
                        <w:b/>
                        <w:bCs/>
                        <w:color w:val="FFFF00"/>
                        <w:spacing w:val="3"/>
                        <w:kern w:val="0"/>
                        <w:sz w:val="18"/>
                        <w:szCs w:val="18"/>
                        <w:fitText w:val="2160" w:id="1084829920"/>
                        <w:lang w:val="en-US" w:eastAsia="zh-CN"/>
                      </w:rPr>
                      <w:t>-</w:t>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6CFFD7">
    <w:pPr>
      <w:pStyle w:val="3"/>
    </w:pPr>
    <w:r>
      <w:rPr>
        <w:sz w:val="18"/>
      </w:rPr>
      <mc:AlternateContent>
        <mc:Choice Requires="wpg">
          <w:drawing>
            <wp:anchor distT="0" distB="0" distL="114300" distR="114300" simplePos="0" relativeHeight="251660288" behindDoc="0" locked="0" layoutInCell="1" allowOverlap="1">
              <wp:simplePos x="0" y="0"/>
              <wp:positionH relativeFrom="page">
                <wp:posOffset>-247650</wp:posOffset>
              </wp:positionH>
              <wp:positionV relativeFrom="page">
                <wp:posOffset>0</wp:posOffset>
              </wp:positionV>
              <wp:extent cx="7826375" cy="1109345"/>
              <wp:effectExtent l="0" t="0" r="0" b="0"/>
              <wp:wrapNone/>
              <wp:docPr id="15" name="组合 15"/>
              <wp:cNvGraphicFramePr/>
              <a:graphic xmlns:a="http://schemas.openxmlformats.org/drawingml/2006/main">
                <a:graphicData uri="http://schemas.microsoft.com/office/word/2010/wordprocessingGroup">
                  <wpg:wgp>
                    <wpg:cNvGrpSpPr/>
                    <wpg:grpSpPr>
                      <a:xfrm>
                        <a:off x="0" y="0"/>
                        <a:ext cx="7826649" cy="1109345"/>
                        <a:chOff x="867" y="277"/>
                        <a:chExt cx="13422" cy="1747"/>
                      </a:xfrm>
                    </wpg:grpSpPr>
                    <wps:wsp>
                      <wps:cNvPr id="2" name="文本框 2"/>
                      <wps:cNvSpPr txBox="1"/>
                      <wps:spPr>
                        <a:xfrm>
                          <a:off x="2134" y="299"/>
                          <a:ext cx="12112" cy="17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7F188C">
                            <w:pPr>
                              <w:jc w:val="left"/>
                              <w:rPr>
                                <w:rFonts w:hint="default" w:ascii="微软雅黑" w:hAnsi="微软雅黑" w:eastAsia="微软雅黑" w:cs="微软雅黑"/>
                                <w:b/>
                                <w:bCs/>
                                <w:sz w:val="40"/>
                                <w:szCs w:val="48"/>
                                <w:lang w:val="en-US" w:eastAsia="zh-CN"/>
                              </w:rPr>
                            </w:pPr>
                            <w:r>
                              <w:rPr>
                                <w:rFonts w:hint="eastAsia" w:ascii="阿里巴巴普惠体 B" w:hAnsi="阿里巴巴普惠体 B" w:eastAsia="阿里巴巴普惠体 B" w:cs="阿里巴巴普惠体 B"/>
                                <w:b/>
                                <w:bCs/>
                                <w:color w:val="0070C0"/>
                                <w:sz w:val="21"/>
                                <w:szCs w:val="21"/>
                                <w:lang w:val="en-US" w:eastAsia="zh-CN"/>
                                <w14:textFill>
                                  <w14:gradFill>
                                    <w14:gsLst>
                                      <w14:gs w14:pos="0">
                                        <w14:srgbClr w14:val="012D86"/>
                                      </w14:gs>
                                      <w14:gs w14:pos="100000">
                                        <w14:srgbClr w14:val="0E2557"/>
                                      </w14:gs>
                                    </w14:gsLst>
                                    <w14:lin w14:scaled="0"/>
                                  </w14:gradFill>
                                </w14:textFill>
                              </w:rPr>
                              <w:drawing>
                                <wp:inline distT="0" distB="0" distL="114300" distR="114300">
                                  <wp:extent cx="469265" cy="473710"/>
                                  <wp:effectExtent l="0" t="0" r="6985" b="2540"/>
                                  <wp:docPr id="13" name="图片 13" descr="通蔚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通蔚二维码"/>
                                          <pic:cNvPicPr>
                                            <a:picLocks noChangeAspect="1"/>
                                          </pic:cNvPicPr>
                                        </pic:nvPicPr>
                                        <pic:blipFill>
                                          <a:blip r:embed="rId1"/>
                                          <a:stretch>
                                            <a:fillRect/>
                                          </a:stretch>
                                        </pic:blipFill>
                                        <pic:spPr>
                                          <a:xfrm>
                                            <a:off x="0" y="0"/>
                                            <a:ext cx="469265" cy="473710"/>
                                          </a:xfrm>
                                          <a:prstGeom prst="rect">
                                            <a:avLst/>
                                          </a:prstGeom>
                                        </pic:spPr>
                                      </pic:pic>
                                    </a:graphicData>
                                  </a:graphic>
                                </wp:inline>
                              </w:drawing>
                            </w:r>
                            <w:r>
                              <w:rPr>
                                <w:rFonts w:hint="eastAsia" w:ascii="微软雅黑" w:hAnsi="微软雅黑" w:eastAsia="微软雅黑" w:cs="微软雅黑"/>
                                <w:b/>
                                <w:bCs/>
                                <w:sz w:val="40"/>
                                <w:szCs w:val="48"/>
                                <w:lang w:val="en-US" w:eastAsia="zh-CN"/>
                              </w:rPr>
                              <w:t xml:space="preserve">   </w:t>
                            </w:r>
                            <w:r>
                              <w:rPr>
                                <w:rFonts w:hint="eastAsia" w:ascii="阿里巴巴普惠体 B" w:hAnsi="阿里巴巴普惠体 B" w:eastAsia="阿里巴巴普惠体 B" w:cs="阿里巴巴普惠体 B"/>
                                <w:b/>
                                <w:bCs/>
                                <w:color w:val="0070C0"/>
                                <w:sz w:val="21"/>
                                <w:szCs w:val="21"/>
                                <w:lang w:val="en-US" w:eastAsia="zh-CN"/>
                                <w14:textFill>
                                  <w14:gradFill>
                                    <w14:gsLst>
                                      <w14:gs w14:pos="0">
                                        <w14:srgbClr w14:val="012D86"/>
                                      </w14:gs>
                                      <w14:gs w14:pos="100000">
                                        <w14:srgbClr w14:val="0E2557"/>
                                      </w14:gs>
                                    </w14:gsLst>
                                    <w14:lin w14:scaled="0"/>
                                  </w14:gradFill>
                                </w14:textFill>
                              </w:rPr>
                              <w:t xml:space="preserve">本细胞仅供科研使用 , 不得用于其他用途  订购热线:  021-54845833/15800441009                           </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 name="文本框 8"/>
                      <wps:cNvSpPr txBox="1"/>
                      <wps:spPr>
                        <a:xfrm flipV="1">
                          <a:off x="2198" y="1283"/>
                          <a:ext cx="12091" cy="1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4F8FB6">
                            <w:pPr>
                              <w:jc w:val="distribute"/>
                              <w:rPr>
                                <w:rFonts w:hint="default" w:ascii="微软雅黑" w:hAnsi="微软雅黑" w:eastAsia="微软雅黑" w:cs="微软雅黑"/>
                                <w:b/>
                                <w:bCs/>
                                <w:color w:val="808080" w:themeColor="text1" w:themeTint="80"/>
                                <w:sz w:val="20"/>
                                <w:szCs w:val="22"/>
                                <w:lang w:val="en-US" w:eastAsia="zh-CN"/>
                                <w14:textFill>
                                  <w14:solidFill>
                                    <w14:schemeClr w14:val="tx1">
                                      <w14:lumMod w14:val="50000"/>
                                      <w14:lumOff w14:val="50000"/>
                                    </w14:schemeClr>
                                  </w14:solidFill>
                                </w14:textFill>
                              </w:rPr>
                            </w:pPr>
                            <w:r>
                              <w:rPr>
                                <w:rFonts w:hint="eastAsia" w:ascii="微软雅黑" w:hAnsi="微软雅黑" w:eastAsia="微软雅黑" w:cs="微软雅黑"/>
                                <w:b/>
                                <w:bCs/>
                                <w:color w:val="808080" w:themeColor="text1" w:themeTint="80"/>
                                <w:sz w:val="20"/>
                                <w:szCs w:val="22"/>
                                <w:lang w:val="en-US" w:eastAsia="zh-CN"/>
                                <w14:textFill>
                                  <w14:solidFill>
                                    <w14:schemeClr w14:val="tx1">
                                      <w14:lumMod w14:val="50000"/>
                                      <w14:lumOff w14:val="50000"/>
                                    </w14:schemeClr>
                                  </w14:solidFill>
                                </w14:textFill>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9" name="组合 9"/>
                      <wpg:cNvGrpSpPr/>
                      <wpg:grpSpPr>
                        <a:xfrm>
                          <a:off x="867" y="277"/>
                          <a:ext cx="1224" cy="973"/>
                          <a:chOff x="867" y="277"/>
                          <a:chExt cx="1224" cy="973"/>
                        </a:xfrm>
                      </wpg:grpSpPr>
                      <wps:wsp>
                        <wps:cNvPr id="4" name="矩形 4"/>
                        <wps:cNvSpPr/>
                        <wps:spPr>
                          <a:xfrm>
                            <a:off x="867" y="277"/>
                            <a:ext cx="351" cy="973"/>
                          </a:xfrm>
                          <a:prstGeom prst="rect">
                            <a:avLst/>
                          </a:prstGeom>
                          <a:solidFill>
                            <a:schemeClr val="accent5">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矩形 5"/>
                        <wps:cNvSpPr/>
                        <wps:spPr>
                          <a:xfrm>
                            <a:off x="1276" y="277"/>
                            <a:ext cx="310" cy="973"/>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 name="矩形 6"/>
                        <wps:cNvSpPr/>
                        <wps:spPr>
                          <a:xfrm>
                            <a:off x="1695" y="277"/>
                            <a:ext cx="168" cy="973"/>
                          </a:xfrm>
                          <a:prstGeom prst="rect">
                            <a:avLst/>
                          </a:prstGeom>
                          <a:solidFill>
                            <a:schemeClr val="accent5">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 name="矩形 7"/>
                        <wps:cNvSpPr/>
                        <wps:spPr>
                          <a:xfrm>
                            <a:off x="1971" y="277"/>
                            <a:ext cx="120" cy="973"/>
                          </a:xfrm>
                          <a:prstGeom prst="rect">
                            <a:avLst/>
                          </a:prstGeom>
                          <a:solidFill>
                            <a:schemeClr val="accent5">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wgp>
                </a:graphicData>
              </a:graphic>
            </wp:anchor>
          </w:drawing>
        </mc:Choice>
        <mc:Fallback>
          <w:pict>
            <v:group id="_x0000_s1026" o:spid="_x0000_s1026" o:spt="203" style="position:absolute;left:0pt;margin-left:-19.5pt;margin-top:0pt;height:87.35pt;width:616.25pt;mso-position-horizontal-relative:page;mso-position-vertical-relative:page;z-index:251660288;mso-width-relative:page;mso-height-relative:page;" coordorigin="867,277" coordsize="13422,1747" o:gfxdata="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">
              <o:lock v:ext="edit" aspectratio="f"/>
              <v:shape id="_x0000_s1026" o:spid="_x0000_s1026" o:spt="202" type="#_x0000_t202" style="position:absolute;left:2134;top:299;height:1725;width:12112;" filled="f" stroked="f" coordsize="21600,21600" o:gfxdata="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OgsWi8AAAA&#10;2g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14:paraId="797F188C">
                      <w:pPr>
                        <w:jc w:val="left"/>
                        <w:rPr>
                          <w:rFonts w:hint="default" w:ascii="微软雅黑" w:hAnsi="微软雅黑" w:eastAsia="微软雅黑" w:cs="微软雅黑"/>
                          <w:b/>
                          <w:bCs/>
                          <w:sz w:val="40"/>
                          <w:szCs w:val="48"/>
                          <w:lang w:val="en-US" w:eastAsia="zh-CN"/>
                        </w:rPr>
                      </w:pPr>
                      <w:r>
                        <w:rPr>
                          <w:rFonts w:hint="eastAsia" w:ascii="阿里巴巴普惠体 B" w:hAnsi="阿里巴巴普惠体 B" w:eastAsia="阿里巴巴普惠体 B" w:cs="阿里巴巴普惠体 B"/>
                          <w:b/>
                          <w:bCs/>
                          <w:color w:val="0070C0"/>
                          <w:sz w:val="21"/>
                          <w:szCs w:val="21"/>
                          <w:lang w:val="en-US" w:eastAsia="zh-CN"/>
                          <w14:textFill>
                            <w14:gradFill>
                              <w14:gsLst>
                                <w14:gs w14:pos="0">
                                  <w14:srgbClr w14:val="012D86"/>
                                </w14:gs>
                                <w14:gs w14:pos="100000">
                                  <w14:srgbClr w14:val="0E2557"/>
                                </w14:gs>
                              </w14:gsLst>
                              <w14:lin w14:scaled="0"/>
                            </w14:gradFill>
                          </w14:textFill>
                        </w:rPr>
                        <w:drawing>
                          <wp:inline distT="0" distB="0" distL="114300" distR="114300">
                            <wp:extent cx="469265" cy="473710"/>
                            <wp:effectExtent l="0" t="0" r="6985" b="2540"/>
                            <wp:docPr id="13" name="图片 13" descr="通蔚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通蔚二维码"/>
                                    <pic:cNvPicPr>
                                      <a:picLocks noChangeAspect="1"/>
                                    </pic:cNvPicPr>
                                  </pic:nvPicPr>
                                  <pic:blipFill>
                                    <a:blip r:embed="rId1"/>
                                    <a:stretch>
                                      <a:fillRect/>
                                    </a:stretch>
                                  </pic:blipFill>
                                  <pic:spPr>
                                    <a:xfrm>
                                      <a:off x="0" y="0"/>
                                      <a:ext cx="469265" cy="473710"/>
                                    </a:xfrm>
                                    <a:prstGeom prst="rect">
                                      <a:avLst/>
                                    </a:prstGeom>
                                  </pic:spPr>
                                </pic:pic>
                              </a:graphicData>
                            </a:graphic>
                          </wp:inline>
                        </w:drawing>
                      </w:r>
                      <w:r>
                        <w:rPr>
                          <w:rFonts w:hint="eastAsia" w:ascii="微软雅黑" w:hAnsi="微软雅黑" w:eastAsia="微软雅黑" w:cs="微软雅黑"/>
                          <w:b/>
                          <w:bCs/>
                          <w:sz w:val="40"/>
                          <w:szCs w:val="48"/>
                          <w:lang w:val="en-US" w:eastAsia="zh-CN"/>
                        </w:rPr>
                        <w:t xml:space="preserve">   </w:t>
                      </w:r>
                      <w:r>
                        <w:rPr>
                          <w:rFonts w:hint="eastAsia" w:ascii="阿里巴巴普惠体 B" w:hAnsi="阿里巴巴普惠体 B" w:eastAsia="阿里巴巴普惠体 B" w:cs="阿里巴巴普惠体 B"/>
                          <w:b/>
                          <w:bCs/>
                          <w:color w:val="0070C0"/>
                          <w:sz w:val="21"/>
                          <w:szCs w:val="21"/>
                          <w:lang w:val="en-US" w:eastAsia="zh-CN"/>
                          <w14:textFill>
                            <w14:gradFill>
                              <w14:gsLst>
                                <w14:gs w14:pos="0">
                                  <w14:srgbClr w14:val="012D86"/>
                                </w14:gs>
                                <w14:gs w14:pos="100000">
                                  <w14:srgbClr w14:val="0E2557"/>
                                </w14:gs>
                              </w14:gsLst>
                              <w14:lin w14:scaled="0"/>
                            </w14:gradFill>
                          </w14:textFill>
                        </w:rPr>
                        <w:t xml:space="preserve">本细胞仅供科研使用 , 不得用于其他用途  订购热线:  021-54845833/15800441009                           </w:t>
                      </w:r>
                    </w:p>
                  </w:txbxContent>
                </v:textbox>
              </v:shape>
              <v:shape id="_x0000_s1026" o:spid="_x0000_s1026" o:spt="202" type="#_x0000_t202" style="position:absolute;left:2198;top:1283;flip:y;height:120;width:12091;" filled="f" stroked="f" coordsize="21600,21600" o:gfxdata="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w1bAVtAAAANoAAAAPAAAA&#10;AAAAAAEAIAAAACIAAABkcnMvZG93bnJldi54bWxQSwECFAAUAAAACACHTuJAMy8FnjsAAAA5AAAA&#10;EAAAAAAAAAABACAAAAADAQAAZHJzL3NoYXBleG1sLnhtbFBLBQYAAAAABgAGAFsBAACtAwAAAAA=&#10;">
                <v:fill on="f" focussize="0,0"/>
                <v:stroke on="f" weight="0.5pt"/>
                <v:imagedata o:title=""/>
                <o:lock v:ext="edit" aspectratio="f"/>
                <v:textbox>
                  <w:txbxContent>
                    <w:p w14:paraId="454F8FB6">
                      <w:pPr>
                        <w:jc w:val="distribute"/>
                        <w:rPr>
                          <w:rFonts w:hint="default" w:ascii="微软雅黑" w:hAnsi="微软雅黑" w:eastAsia="微软雅黑" w:cs="微软雅黑"/>
                          <w:b/>
                          <w:bCs/>
                          <w:color w:val="808080" w:themeColor="text1" w:themeTint="80"/>
                          <w:sz w:val="20"/>
                          <w:szCs w:val="22"/>
                          <w:lang w:val="en-US" w:eastAsia="zh-CN"/>
                          <w14:textFill>
                            <w14:solidFill>
                              <w14:schemeClr w14:val="tx1">
                                <w14:lumMod w14:val="50000"/>
                                <w14:lumOff w14:val="50000"/>
                              </w14:schemeClr>
                            </w14:solidFill>
                          </w14:textFill>
                        </w:rPr>
                      </w:pPr>
                      <w:r>
                        <w:rPr>
                          <w:rFonts w:hint="eastAsia" w:ascii="微软雅黑" w:hAnsi="微软雅黑" w:eastAsia="微软雅黑" w:cs="微软雅黑"/>
                          <w:b/>
                          <w:bCs/>
                          <w:color w:val="808080" w:themeColor="text1" w:themeTint="80"/>
                          <w:sz w:val="20"/>
                          <w:szCs w:val="22"/>
                          <w:lang w:val="en-US" w:eastAsia="zh-CN"/>
                          <w14:textFill>
                            <w14:solidFill>
                              <w14:schemeClr w14:val="tx1">
                                <w14:lumMod w14:val="50000"/>
                                <w14:lumOff w14:val="50000"/>
                              </w14:schemeClr>
                            </w14:solidFill>
                          </w14:textFill>
                        </w:rPr>
                        <w:t xml:space="preserve">           </w:t>
                      </w:r>
                    </w:p>
                  </w:txbxContent>
                </v:textbox>
              </v:shape>
              <v:group id="_x0000_s1026" o:spid="_x0000_s1026" o:spt="203" style="position:absolute;left:867;top:277;height:973;width:1224;" coordorigin="867,277" coordsize="1224,973" o:gfxdata="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W/Q36+AAAA2gAAAA8AAAAAAAAAAQAgAAAAIgAAAGRycy9kb3ducmV2Lnht&#10;bFBLAQIUABQAAAAIAIdO4kAzLwWeOwAAADkAAAAVAAAAAAAAAAEAIAAAAA0BAABkcnMvZ3JvdXBz&#10;aGFwZXhtbC54bWxQSwUGAAAAAAYABgBgAQAAygMAAAAA&#10;">
                <o:lock v:ext="edit" aspectratio="f"/>
                <v:rect id="_x0000_s1026" o:spid="_x0000_s1026" o:spt="1" style="position:absolute;left:867;top:277;height:973;width:351;v-text-anchor:middle;" fillcolor="#249087 [2408]" filled="t" stroked="f" coordsize="21600,21600" o:gfxdata="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rzH8vQAA&#10;ANo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ect>
                <v:rect id="_x0000_s1026" o:spid="_x0000_s1026" o:spt="1" style="position:absolute;left:1276;top:277;height:973;width:310;v-text-anchor:middle;" fillcolor="#7DDFD7 [1944]" filled="t" stroked="f" coordsize="21600,21600" o:gfxdata="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CNc7vQAA&#10;ANo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ect>
                <v:rect id="_x0000_s1026" o:spid="_x0000_s1026" o:spt="1" style="position:absolute;left:1695;top:277;height:973;width:168;v-text-anchor:middle;" fillcolor="#A9E9E4 [1304]" filled="t" stroked="f" coordsize="21600,21600" o:gfxdata="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jbIJu8AAAA&#10;2g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ect>
                <v:rect id="_x0000_s1026" o:spid="_x0000_s1026" o:spt="1" style="position:absolute;left:1971;top:277;height:973;width:120;v-text-anchor:middle;" fillcolor="#D4F4F2 [664]" filled="t" stroked="f" coordsize="21600,21600" o:gfxdata="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TlxxbsAAADa&#10;AAAADwAAAAAAAAABACAAAAAiAAAAZHJzL2Rvd25yZXYueG1sUEsBAhQAFAAAAAgAh07iQDMvBZ47&#10;AAAAOQAAABAAAAAAAAAAAQAgAAAACgEAAGRycy9zaGFwZXhtbC54bWxQSwUGAAAAAAYABgBbAQAA&#10;tAMAAAAA&#10;">
                  <v:fill on="t" focussize="0,0"/>
                  <v:stroke on="f" weight="1pt" miterlimit="8" joinstyle="miter"/>
                  <v:imagedata o:title=""/>
                  <o:lock v:ext="edit" aspectratio="f"/>
                </v:rect>
              </v:group>
            </v:group>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ge">
                <wp:posOffset>628015</wp:posOffset>
              </wp:positionV>
              <wp:extent cx="7565390" cy="36195"/>
              <wp:effectExtent l="0" t="0" r="16510" b="1905"/>
              <wp:wrapNone/>
              <wp:docPr id="3" name="矩形 3"/>
              <wp:cNvGraphicFramePr/>
              <a:graphic xmlns:a="http://schemas.openxmlformats.org/drawingml/2006/main">
                <a:graphicData uri="http://schemas.microsoft.com/office/word/2010/wordprocessingShape">
                  <wps:wsp>
                    <wps:cNvSpPr/>
                    <wps:spPr>
                      <a:xfrm>
                        <a:off x="11430" y="815340"/>
                        <a:ext cx="7565390" cy="3619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100000</wp14:pctWidth>
              </wp14:sizeRelH>
              <wp14:sizeRelV relativeFrom="page">
                <wp14:pctHeight>0</wp14:pctHeight>
              </wp14:sizeRelV>
            </wp:anchor>
          </w:drawing>
        </mc:Choice>
        <mc:Fallback>
          <w:pict>
            <v:rect id="_x0000_s1026" o:spid="_x0000_s1026" o:spt="1" style="position:absolute;left:0pt;margin-left:0pt;margin-top:49.45pt;height:2.85pt;width:595.7pt;mso-position-horizontal-relative:page;mso-position-vertical-relative:page;z-index:251659264;v-text-anchor:middle;mso-width-relative:page;mso-height-relative:page;mso-width-percent:1000;" fillcolor="#4874CB [3204]" filled="t" stroked="f" coordsize="21600,21600" o:gfxdata="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NEzUP7WAAAACAEAAA8AAAAAAAAAAQAgAAAAIgAAAGRycy9k&#10;b3ducmV2LnhtbFBLAQIUABQAAAAIAIdO4kBsllJ4dgIAANMEAAAOAAAAAAAAAAEAIAAAACUBAABk&#10;cnMvZTJvRG9jLnhtbFBLBQYAAAAABgAGAFkBAAANBgAAAAA=&#10;">
              <v:fill on="t" focussize="0,0"/>
              <v:stroke on="f" weight="1pt" miterlimit="8" joinstyle="miter"/>
              <v:imagedata o:title=""/>
              <o:lock v:ext="edit" aspectratio="f"/>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BCAAA2"/>
    <w:multiLevelType w:val="singleLevel"/>
    <w:tmpl w:val="B8BCAAA2"/>
    <w:lvl w:ilvl="0" w:tentative="0">
      <w:start w:val="1"/>
      <w:numFmt w:val="decimal"/>
      <w:suff w:val="space"/>
      <w:lvlText w:val="%1."/>
      <w:lvlJc w:val="left"/>
      <w:rPr>
        <w:rFonts w:hint="default"/>
        <w:b/>
        <w:bCs/>
      </w:rPr>
    </w:lvl>
  </w:abstractNum>
  <w:abstractNum w:abstractNumId="1">
    <w:nsid w:val="F9E1CF7A"/>
    <w:multiLevelType w:val="singleLevel"/>
    <w:tmpl w:val="F9E1CF7A"/>
    <w:lvl w:ilvl="0" w:tentative="0">
      <w:start w:val="1"/>
      <w:numFmt w:val="decimal"/>
      <w:suff w:val="space"/>
      <w:lvlText w:val="%1."/>
      <w:lvlJc w:val="left"/>
      <w:rPr>
        <w:rFonts w:hint="default"/>
        <w:b/>
        <w:bCs/>
      </w:rPr>
    </w:lvl>
  </w:abstractNum>
  <w:abstractNum w:abstractNumId="2">
    <w:nsid w:val="0202FB82"/>
    <w:multiLevelType w:val="singleLevel"/>
    <w:tmpl w:val="0202FB82"/>
    <w:lvl w:ilvl="0" w:tentative="0">
      <w:start w:val="4"/>
      <w:numFmt w:val="decimal"/>
      <w:suff w:val="space"/>
      <w:lvlText w:val="%1."/>
      <w:lvlJc w:val="left"/>
      <w:rPr>
        <w:rFonts w:hint="default"/>
        <w:b/>
        <w:bCs/>
      </w:rPr>
    </w:lvl>
  </w:abstractNum>
  <w:abstractNum w:abstractNumId="3">
    <w:nsid w:val="60F4ADBD"/>
    <w:multiLevelType w:val="singleLevel"/>
    <w:tmpl w:val="60F4ADBD"/>
    <w:lvl w:ilvl="0" w:tentative="0">
      <w:start w:val="1"/>
      <w:numFmt w:val="decimal"/>
      <w:suff w:val="space"/>
      <w:lvlText w:val="%1."/>
      <w:lvlJc w:val="left"/>
      <w:rPr>
        <w:rFonts w:hint="default"/>
        <w:b/>
        <w:bCs/>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833862"/>
    <w:rsid w:val="0401729D"/>
    <w:rsid w:val="1A9966B3"/>
    <w:rsid w:val="1D833862"/>
    <w:rsid w:val="2DC50F24"/>
    <w:rsid w:val="39AE222F"/>
    <w:rsid w:val="3CBD7933"/>
    <w:rsid w:val="43A45688"/>
    <w:rsid w:val="565C123F"/>
    <w:rsid w:val="56B66CB8"/>
    <w:rsid w:val="5D4A529A"/>
    <w:rsid w:val="601F7341"/>
    <w:rsid w:val="62A80F69"/>
    <w:rsid w:val="65270084"/>
    <w:rsid w:val="66087371"/>
    <w:rsid w:val="6C7F158F"/>
    <w:rsid w:val="6DCA3B30"/>
    <w:rsid w:val="6E34575E"/>
    <w:rsid w:val="6FBC64DE"/>
    <w:rsid w:val="70AF47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2137</Words>
  <Characters>2384</Characters>
  <Lines>0</Lines>
  <Paragraphs>0</Paragraphs>
  <TotalTime>5</TotalTime>
  <ScaleCrop>false</ScaleCrop>
  <LinksUpToDate>false</LinksUpToDate>
  <CharactersWithSpaces>2423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2025-01-10T07:31:00Z</dcterms:created>
  <dc:creator>~粉色</dc:creator>
  <cp:lastModifiedBy>~粉色</cp:lastModifiedBy>
  <dcterms:modified xsi:type="dcterms:W3CDTF">2025-01-10T08:09:34Z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51A10B5092EF4237B00A8973294959FB_13</vt:lpwstr>
  </property>
  <property fmtid="{D5CDD505-2E9C-101B-9397-08002B2CF9AE}" pid="4" name="KSOTemplateDocerSaveRecord">
    <vt:lpwstr>eyJoZGlkIjoiZDJiNzJhMGMyOTMxYTdiYjEwMTBjODFmMmZiNmJkZTciLCJ1c2VySWQiOiIxNDM0NDY3MTE0In0=</vt:lpwstr>
  </property>
</Properties>
</file>